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0773" w14:textId="77777777" w:rsidR="00D779EC" w:rsidRPr="002A1672" w:rsidRDefault="00D779EC" w:rsidP="0024148C">
      <w:pPr>
        <w:spacing w:after="0" w:line="240" w:lineRule="auto"/>
        <w:rPr>
          <w:rFonts w:ascii="Times New Roman" w:hAnsi="Times New Roman"/>
          <w:b/>
          <w:bCs/>
          <w:sz w:val="28"/>
          <w:szCs w:val="28"/>
        </w:rPr>
      </w:pPr>
    </w:p>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387CBF33" w14:textId="58B471F8" w:rsidR="00C44262" w:rsidRPr="00F876DD" w:rsidRDefault="00F876DD"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w:t>
      </w:r>
      <w:r w:rsidR="00A04E15">
        <w:rPr>
          <w:rFonts w:ascii="Times New Roman" w:hAnsi="Times New Roman"/>
          <w:b/>
          <w:bCs/>
          <w:sz w:val="24"/>
          <w:szCs w:val="24"/>
        </w:rPr>
        <w:t>організаційного та правового з</w:t>
      </w:r>
      <w:r w:rsidR="009549E8">
        <w:rPr>
          <w:rFonts w:ascii="Times New Roman" w:hAnsi="Times New Roman"/>
          <w:b/>
          <w:bCs/>
          <w:sz w:val="24"/>
          <w:szCs w:val="24"/>
        </w:rPr>
        <w:t>абезпечення</w:t>
      </w:r>
    </w:p>
    <w:p w14:paraId="24BFE50A" w14:textId="77777777" w:rsidR="00C44262" w:rsidRPr="00F876DD" w:rsidRDefault="00C44262" w:rsidP="00DD3E4D">
      <w:pPr>
        <w:spacing w:after="0" w:line="240" w:lineRule="auto"/>
        <w:jc w:val="center"/>
        <w:rPr>
          <w:rFonts w:ascii="Times New Roman" w:hAnsi="Times New Roman"/>
          <w:b/>
          <w:bCs/>
          <w:sz w:val="24"/>
          <w:szCs w:val="24"/>
        </w:rPr>
      </w:pPr>
      <w:r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7C2336E"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Ведення діловодства у відділі організаційного та правового забезпечення. Приймання та реєстрація вхідної, вихідної, внутрішньої кореспонденції, оперативний облік, опрацювання та збереження документів, передача їх на розгляд оперативним працівникам для виконання чи для відправки за належністю.</w:t>
            </w:r>
          </w:p>
          <w:p w14:paraId="203BDF5A"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Формування та ведення номенклатурних справ. Ведення книг обліку згідно з номенклатурою справ. Формування справ, оформлення і передача їх до архіву обласної прокуратури.</w:t>
            </w:r>
          </w:p>
          <w:p w14:paraId="33F431C0"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Друк службової кореспонденції, тиражування необхідних службових документів. Облік строків виконання контрольних документів, інформування начальника про затримку їх виконання.</w:t>
            </w:r>
          </w:p>
          <w:p w14:paraId="3A25531D"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Забезпечення своєчасного та якісного прийняття у відділі робочої інформації, в тому числі факсимільним зв'язком та електронною поштою.</w:t>
            </w:r>
          </w:p>
          <w:p w14:paraId="44F25A80"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Опрацювання документів із застосуванням засобів інформаційної системи «Система електронного документообігу органів прокуратури України».</w:t>
            </w:r>
          </w:p>
          <w:p w14:paraId="2086A79C"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Участь у виконанні організаційних, програмних і технічних завдань, а також у навчаннях та оперативних нарадах з питань діловодства, у проведенні навчально- методичних заходів з питань організації роботи, контролю виконання та правового забезпечення.</w:t>
            </w:r>
          </w:p>
          <w:p w14:paraId="68D8CD9B" w14:textId="64668C86"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Підготовка про</w:t>
            </w:r>
            <w:r w:rsidR="00A374D4">
              <w:rPr>
                <w:rFonts w:ascii="Times New Roman" w:eastAsia="Times New Roman" w:hAnsi="Times New Roman"/>
                <w:sz w:val="24"/>
                <w:szCs w:val="24"/>
                <w:lang w:eastAsia="ru-RU"/>
              </w:rPr>
              <w:t>є</w:t>
            </w:r>
            <w:r w:rsidRPr="00B43AB6">
              <w:rPr>
                <w:rFonts w:ascii="Times New Roman" w:eastAsia="Times New Roman" w:hAnsi="Times New Roman"/>
                <w:sz w:val="24"/>
                <w:szCs w:val="24"/>
                <w:lang w:eastAsia="ru-RU"/>
              </w:rPr>
              <w:t xml:space="preserve">ктів наказів щодо виїзду до окружних прокуратур за участю кількох структурних підрозділів апарату обласної прокуратури. </w:t>
            </w:r>
          </w:p>
          <w:p w14:paraId="6054AD84" w14:textId="67A43F5E"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 xml:space="preserve">Здійснення комплексу заходів з питань підготовки проєкту плану роботи Вінницької обласної прокуратури, зокрема: 1. підготовка проєкту доручення щодо надання пропозиції до плану роботи обласної прокуратури; 2. узагальнення наданих структурними підрозділами апарату Вінницької обласної прокуратури пропозицій </w:t>
            </w:r>
            <w:r w:rsidR="00BA551F" w:rsidRPr="00B43AB6">
              <w:rPr>
                <w:rFonts w:ascii="Times New Roman" w:eastAsia="Times New Roman" w:hAnsi="Times New Roman"/>
                <w:sz w:val="24"/>
                <w:szCs w:val="24"/>
                <w:lang w:eastAsia="ru-RU"/>
              </w:rPr>
              <w:t>погоджених</w:t>
            </w:r>
            <w:r w:rsidRPr="00B43AB6">
              <w:rPr>
                <w:rFonts w:ascii="Times New Roman" w:eastAsia="Times New Roman" w:hAnsi="Times New Roman"/>
                <w:sz w:val="24"/>
                <w:szCs w:val="24"/>
                <w:lang w:eastAsia="ru-RU"/>
              </w:rPr>
              <w:t xml:space="preserve"> з першим заступником, заступниками керівника; 3. підготовка проєкту наказу з додатками про затвердження плану роботи обласної прокуратури; 4. ознайомлення з планом роботи працівників апаратуру Вінницької обласної прокуратури та керівників окружних прокуратур за допомогою системи «Система електронного документообігу органів прокуратури України». Участь у підготовці проєктів планів роботи, координаційних, спільних, оперативних (апаратних) нарад. </w:t>
            </w:r>
          </w:p>
          <w:p w14:paraId="2B91849C" w14:textId="5B479414"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Підготовка про</w:t>
            </w:r>
            <w:r w:rsidR="00A374D4">
              <w:rPr>
                <w:rFonts w:ascii="Times New Roman" w:eastAsia="Times New Roman" w:hAnsi="Times New Roman"/>
                <w:sz w:val="24"/>
                <w:szCs w:val="24"/>
                <w:lang w:eastAsia="ru-RU"/>
              </w:rPr>
              <w:t>є</w:t>
            </w:r>
            <w:r w:rsidRPr="00B43AB6">
              <w:rPr>
                <w:rFonts w:ascii="Times New Roman" w:eastAsia="Times New Roman" w:hAnsi="Times New Roman"/>
                <w:sz w:val="24"/>
                <w:szCs w:val="24"/>
                <w:lang w:eastAsia="ru-RU"/>
              </w:rPr>
              <w:t>ктів службових листів, наказів з питань організації роботи, контролю виконання та правового забезпечення.</w:t>
            </w:r>
          </w:p>
          <w:p w14:paraId="08991E7B"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lastRenderedPageBreak/>
              <w:t>Здійснення обліку і систематизації нормативно-правових актів, підтримання їх текстів у контрольному стані. Надання практичної допомоги в отриманні правової інформації працівникам органів обласної прокуратури (утримання текстів нормативно-правових актів у контрольному стані, інформації щодо їх офіційного опублікування тощо), інформування працівників окружних прокуратур і апарату про зміни в законодавстві.</w:t>
            </w:r>
          </w:p>
          <w:p w14:paraId="753304EF" w14:textId="77777777" w:rsidR="00B43AB6" w:rsidRPr="00B43AB6"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Здійснення комплексу заходів щодо:1) підготовки проєктів службових листів; 2) проєктів наказів з питань організації роботи, контролю виконання та правового забезпечення.</w:t>
            </w:r>
          </w:p>
          <w:p w14:paraId="19BBA8A3" w14:textId="41514421" w:rsidR="00160349" w:rsidRPr="00530874" w:rsidRDefault="00B43AB6" w:rsidP="00B43AB6">
            <w:pPr>
              <w:spacing w:after="0" w:line="240" w:lineRule="auto"/>
              <w:ind w:left="137" w:right="135"/>
              <w:jc w:val="both"/>
              <w:rPr>
                <w:rFonts w:ascii="Times New Roman" w:eastAsia="Times New Roman" w:hAnsi="Times New Roman"/>
                <w:sz w:val="24"/>
                <w:szCs w:val="24"/>
                <w:lang w:eastAsia="ru-RU"/>
              </w:rPr>
            </w:pPr>
            <w:r w:rsidRPr="00B43AB6">
              <w:rPr>
                <w:rFonts w:ascii="Times New Roman" w:eastAsia="Times New Roman" w:hAnsi="Times New Roman"/>
                <w:sz w:val="24"/>
                <w:szCs w:val="24"/>
                <w:lang w:eastAsia="ru-RU"/>
              </w:rPr>
              <w:t>Здійснення обліку строків виконання контрольних документів, інформування начальника про їх виконання.</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3B84D853" w:rsidR="00DB0936" w:rsidRPr="00184EFA"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посадовий оклад </w:t>
            </w:r>
            <w:r w:rsidRPr="00184EFA">
              <w:rPr>
                <w:rFonts w:ascii="Times New Roman" w:hAnsi="Times New Roman"/>
                <w:sz w:val="24"/>
                <w:szCs w:val="24"/>
              </w:rPr>
              <w:t xml:space="preserve">– </w:t>
            </w:r>
            <w:r w:rsidR="0076503B" w:rsidRPr="00184EFA">
              <w:rPr>
                <w:rFonts w:ascii="Times New Roman" w:hAnsi="Times New Roman"/>
                <w:sz w:val="24"/>
                <w:szCs w:val="24"/>
              </w:rPr>
              <w:t>20795</w:t>
            </w:r>
            <w:r w:rsidRPr="00184EFA">
              <w:rPr>
                <w:rFonts w:ascii="Times New Roman" w:hAnsi="Times New Roman"/>
                <w:sz w:val="24"/>
                <w:szCs w:val="24"/>
              </w:rPr>
              <w:t>, 00 грн.;</w:t>
            </w:r>
          </w:p>
          <w:p w14:paraId="0C08DBDB" w14:textId="2936C622" w:rsidR="00DB0936" w:rsidRPr="00F876DD" w:rsidRDefault="00DB0936" w:rsidP="00F876DD">
            <w:pPr>
              <w:spacing w:after="0" w:line="240" w:lineRule="auto"/>
              <w:ind w:left="142" w:right="135" w:hanging="142"/>
              <w:jc w:val="both"/>
              <w:rPr>
                <w:rFonts w:ascii="Times New Roman" w:hAnsi="Times New Roman"/>
                <w:sz w:val="24"/>
                <w:szCs w:val="24"/>
              </w:rPr>
            </w:pPr>
            <w:r w:rsidRPr="00F876DD">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F876DD">
              <w:rPr>
                <w:rFonts w:ascii="Times New Roman" w:hAnsi="Times New Roman"/>
                <w:sz w:val="24"/>
                <w:szCs w:val="24"/>
              </w:rPr>
              <w:t>5</w:t>
            </w:r>
            <w:r w:rsidRPr="00F876DD">
              <w:rPr>
                <w:rFonts w:ascii="Times New Roman" w:hAnsi="Times New Roman"/>
                <w:sz w:val="24"/>
                <w:szCs w:val="24"/>
              </w:rPr>
              <w:t xml:space="preserve"> рік», постанов Кабінету Міністрів України </w:t>
            </w:r>
            <w:r w:rsidR="00A84454">
              <w:rPr>
                <w:rFonts w:ascii="Times New Roman" w:hAnsi="Times New Roman"/>
                <w:sz w:val="24"/>
                <w:szCs w:val="24"/>
              </w:rPr>
              <w:t xml:space="preserve">            </w:t>
            </w:r>
            <w:r w:rsidRPr="00F876DD">
              <w:rPr>
                <w:rFonts w:ascii="Times New Roman" w:hAnsi="Times New Roman"/>
                <w:sz w:val="24"/>
                <w:szCs w:val="24"/>
              </w:rPr>
              <w:t xml:space="preserve">від 18 січня 2017 року № 15 «Питання оплати праці працівників державних органів», від 29 грудня </w:t>
            </w:r>
            <w:r w:rsidR="00A84454">
              <w:rPr>
                <w:rFonts w:ascii="Times New Roman" w:hAnsi="Times New Roman"/>
                <w:sz w:val="24"/>
                <w:szCs w:val="24"/>
              </w:rPr>
              <w:t xml:space="preserve">          </w:t>
            </w:r>
            <w:r w:rsidRPr="00F876DD">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F876DD">
              <w:rPr>
                <w:rFonts w:ascii="Times New Roman" w:hAnsi="Times New Roman"/>
                <w:sz w:val="24"/>
                <w:szCs w:val="24"/>
              </w:rPr>
              <w:t>5</w:t>
            </w:r>
            <w:r w:rsidRPr="00F876DD">
              <w:rPr>
                <w:rFonts w:ascii="Times New Roman" w:hAnsi="Times New Roman"/>
                <w:sz w:val="24"/>
                <w:szCs w:val="24"/>
              </w:rPr>
              <w:t xml:space="preserve"> році»</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3AD1557B" w:rsidR="00DB0936" w:rsidRPr="00F876DD" w:rsidRDefault="00C13F97" w:rsidP="00DB0936">
            <w:pPr>
              <w:tabs>
                <w:tab w:val="left" w:pos="612"/>
              </w:tabs>
              <w:spacing w:after="0" w:line="240" w:lineRule="auto"/>
              <w:ind w:left="142" w:right="137"/>
              <w:jc w:val="both"/>
              <w:rPr>
                <w:rFonts w:ascii="Times New Roman" w:eastAsia="Times New Roman" w:hAnsi="Times New Roman"/>
                <w:sz w:val="24"/>
                <w:szCs w:val="24"/>
              </w:rPr>
            </w:pPr>
            <w:r w:rsidRPr="00F876DD">
              <w:rPr>
                <w:rFonts w:ascii="Times New Roman" w:eastAsia="Times New Roman" w:hAnsi="Times New Roman"/>
                <w:sz w:val="24"/>
                <w:szCs w:val="24"/>
              </w:rPr>
              <w:t>Строково, на період дії воєнного стану,</w:t>
            </w:r>
            <w:r w:rsidRPr="00F876DD">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Pr>
                <w:rFonts w:ascii="Times New Roman" w:hAnsi="Times New Roman"/>
                <w:color w:val="000000"/>
                <w:sz w:val="24"/>
                <w:szCs w:val="24"/>
                <w:shd w:val="clear" w:color="auto" w:fill="FFFFFF"/>
              </w:rPr>
              <w:t xml:space="preserve">         </w:t>
            </w:r>
            <w:r w:rsidRPr="00F876DD">
              <w:rPr>
                <w:rFonts w:ascii="Times New Roman" w:hAnsi="Times New Roman"/>
                <w:sz w:val="24"/>
                <w:szCs w:val="24"/>
                <w:shd w:val="clear" w:color="auto" w:fill="FFFFFF"/>
              </w:rPr>
              <w:t>12-</w:t>
            </w:r>
            <w:r w:rsidRPr="00F876DD">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3722A532" w:rsidR="00DB0936"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lastRenderedPageBreak/>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3E0B7BEA"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F64FAA">
              <w:rPr>
                <w:rFonts w:ascii="Times New Roman" w:hAnsi="Times New Roman"/>
                <w:sz w:val="24"/>
                <w:szCs w:val="24"/>
              </w:rPr>
              <w:t xml:space="preserve">     </w:t>
            </w:r>
            <w:r w:rsidR="00DB0936" w:rsidRPr="00F876DD">
              <w:rPr>
                <w:rFonts w:ascii="Times New Roman" w:hAnsi="Times New Roman"/>
                <w:sz w:val="24"/>
                <w:szCs w:val="24"/>
              </w:rPr>
              <w:t xml:space="preserve"> (за бажанням);</w:t>
            </w:r>
          </w:p>
          <w:p w14:paraId="5174BF59" w14:textId="631B8CF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35E0857C" w14:textId="77777777" w:rsidR="00530874" w:rsidRDefault="00530874" w:rsidP="00DB0936">
            <w:pPr>
              <w:spacing w:after="0" w:line="240" w:lineRule="auto"/>
              <w:ind w:left="142" w:right="137"/>
              <w:jc w:val="both"/>
              <w:rPr>
                <w:rFonts w:ascii="Times New Roman" w:hAnsi="Times New Roman"/>
                <w:sz w:val="24"/>
                <w:szCs w:val="24"/>
              </w:rPr>
            </w:pPr>
          </w:p>
          <w:p w14:paraId="06DD9C77" w14:textId="77F21B2D"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FB4CDF">
              <w:rPr>
                <w:rFonts w:ascii="Times New Roman" w:hAnsi="Times New Roman"/>
                <w:b/>
                <w:bCs/>
                <w:sz w:val="24"/>
                <w:szCs w:val="24"/>
              </w:rPr>
              <w:t xml:space="preserve">до </w:t>
            </w:r>
            <w:r w:rsidR="00674FF4">
              <w:rPr>
                <w:rFonts w:ascii="Times New Roman" w:hAnsi="Times New Roman"/>
                <w:b/>
                <w:bCs/>
                <w:sz w:val="24"/>
                <w:szCs w:val="24"/>
              </w:rPr>
              <w:t>16</w:t>
            </w:r>
            <w:r w:rsidRPr="00FB4CDF">
              <w:rPr>
                <w:rFonts w:ascii="Times New Roman" w:hAnsi="Times New Roman"/>
                <w:b/>
                <w:sz w:val="24"/>
                <w:szCs w:val="24"/>
              </w:rPr>
              <w:t xml:space="preserve"> год </w:t>
            </w:r>
            <w:r w:rsidR="00674FF4">
              <w:rPr>
                <w:rFonts w:ascii="Times New Roman" w:hAnsi="Times New Roman"/>
                <w:b/>
                <w:sz w:val="24"/>
                <w:szCs w:val="24"/>
              </w:rPr>
              <w:t>45</w:t>
            </w:r>
            <w:r w:rsidRPr="00FB4CDF">
              <w:rPr>
                <w:rFonts w:ascii="Times New Roman" w:hAnsi="Times New Roman"/>
                <w:b/>
                <w:sz w:val="24"/>
                <w:szCs w:val="24"/>
              </w:rPr>
              <w:t xml:space="preserve"> хв </w:t>
            </w:r>
            <w:r w:rsidR="00674FF4">
              <w:rPr>
                <w:rFonts w:ascii="Times New Roman" w:hAnsi="Times New Roman"/>
                <w:b/>
                <w:sz w:val="24"/>
                <w:szCs w:val="24"/>
              </w:rPr>
              <w:t xml:space="preserve">04 </w:t>
            </w:r>
            <w:r w:rsidR="00B43AB6">
              <w:rPr>
                <w:rFonts w:ascii="Times New Roman" w:hAnsi="Times New Roman"/>
                <w:b/>
                <w:sz w:val="24"/>
                <w:szCs w:val="24"/>
              </w:rPr>
              <w:t xml:space="preserve">квітня </w:t>
            </w:r>
            <w:r w:rsidRPr="00FB4CDF">
              <w:rPr>
                <w:rFonts w:ascii="Times New Roman" w:hAnsi="Times New Roman"/>
                <w:b/>
                <w:bCs/>
                <w:sz w:val="24"/>
                <w:szCs w:val="24"/>
              </w:rPr>
              <w:t>202</w:t>
            </w:r>
            <w:r w:rsidR="005E0A17" w:rsidRPr="00FB4CDF">
              <w:rPr>
                <w:rFonts w:ascii="Times New Roman" w:hAnsi="Times New Roman"/>
                <w:b/>
                <w:bCs/>
                <w:sz w:val="24"/>
                <w:szCs w:val="24"/>
              </w:rPr>
              <w:t>5</w:t>
            </w:r>
            <w:r w:rsidRPr="00FB4CDF">
              <w:rPr>
                <w:rFonts w:ascii="Times New Roman" w:hAnsi="Times New Roman"/>
                <w:b/>
                <w:bCs/>
                <w:sz w:val="24"/>
                <w:szCs w:val="24"/>
              </w:rPr>
              <w:t xml:space="preserve"> року</w:t>
            </w:r>
            <w:r w:rsidRPr="00FB4CDF">
              <w:rPr>
                <w:rFonts w:ascii="Times New Roman" w:hAnsi="Times New Roman"/>
                <w:sz w:val="24"/>
                <w:szCs w:val="24"/>
              </w:rPr>
              <w:t xml:space="preserve"> на </w:t>
            </w:r>
            <w:r w:rsidRPr="00F876DD">
              <w:rPr>
                <w:rFonts w:ascii="Times New Roman" w:hAnsi="Times New Roman"/>
                <w:b/>
                <w:bCs/>
                <w:sz w:val="24"/>
                <w:szCs w:val="24"/>
              </w:rPr>
              <w:t>електронну адресу:</w:t>
            </w:r>
            <w:r w:rsidRPr="00F876DD">
              <w:rPr>
                <w:rFonts w:ascii="Times New Roman" w:hAnsi="Times New Roman"/>
                <w:sz w:val="24"/>
                <w:szCs w:val="24"/>
              </w:rPr>
              <w:t xml:space="preserve"> </w:t>
            </w:r>
            <w:r w:rsidRPr="00F876DD">
              <w:rPr>
                <w:rFonts w:ascii="Times New Roman" w:hAnsi="Times New Roman"/>
                <w:sz w:val="24"/>
                <w:szCs w:val="24"/>
                <w:u w:val="single"/>
                <w:lang w:val="en-US" w:eastAsia="ru-RU"/>
              </w:rPr>
              <w:t>kadry</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gmail</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lastRenderedPageBreak/>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577A7541" w:rsidR="00DB0936" w:rsidRPr="00F876DD" w:rsidRDefault="00311DE3" w:rsidP="00DB0936">
            <w:pPr>
              <w:spacing w:after="0" w:line="240" w:lineRule="auto"/>
              <w:ind w:right="135" w:firstLine="142"/>
              <w:jc w:val="both"/>
              <w:rPr>
                <w:rFonts w:ascii="Times New Roman" w:hAnsi="Times New Roman"/>
                <w:sz w:val="24"/>
                <w:szCs w:val="24"/>
              </w:rPr>
            </w:pPr>
            <w:r w:rsidRPr="00F876DD">
              <w:rPr>
                <w:rFonts w:ascii="Times New Roman" w:hAnsi="Times New Roman"/>
                <w:sz w:val="24"/>
                <w:szCs w:val="24"/>
              </w:rPr>
              <w:t>Первачук Катерина Іванівна</w:t>
            </w:r>
            <w:r w:rsidR="00DB0936" w:rsidRPr="00F876DD">
              <w:rPr>
                <w:rFonts w:ascii="Times New Roman" w:hAnsi="Times New Roman"/>
                <w:sz w:val="24"/>
                <w:szCs w:val="24"/>
              </w:rPr>
              <w:t xml:space="preserve">, </w:t>
            </w:r>
          </w:p>
          <w:p w14:paraId="32DB5B3F" w14:textId="1DD8AC62" w:rsidR="00DB0936" w:rsidRPr="00F876DD" w:rsidRDefault="00DB0936" w:rsidP="00DB0936">
            <w:pPr>
              <w:spacing w:after="0" w:line="240" w:lineRule="auto"/>
              <w:ind w:right="135" w:firstLine="142"/>
              <w:jc w:val="both"/>
              <w:rPr>
                <w:rFonts w:ascii="Times New Roman" w:hAnsi="Times New Roman"/>
                <w:sz w:val="24"/>
                <w:szCs w:val="24"/>
              </w:rPr>
            </w:pPr>
            <w:r w:rsidRPr="00F876DD">
              <w:rPr>
                <w:rFonts w:ascii="Times New Roman" w:hAnsi="Times New Roman"/>
                <w:sz w:val="24"/>
                <w:szCs w:val="24"/>
              </w:rPr>
              <w:t>тел. +38 (0</w:t>
            </w:r>
            <w:r w:rsidR="00311DE3" w:rsidRPr="00F876DD">
              <w:rPr>
                <w:rFonts w:ascii="Times New Roman" w:hAnsi="Times New Roman"/>
                <w:sz w:val="24"/>
                <w:szCs w:val="24"/>
              </w:rPr>
              <w:t>9</w:t>
            </w:r>
            <w:r w:rsidRPr="00F876DD">
              <w:rPr>
                <w:rFonts w:ascii="Times New Roman" w:hAnsi="Times New Roman"/>
                <w:sz w:val="24"/>
                <w:szCs w:val="24"/>
              </w:rPr>
              <w:t xml:space="preserve">3) </w:t>
            </w:r>
            <w:r w:rsidR="00311DE3" w:rsidRPr="00F876DD">
              <w:rPr>
                <w:rFonts w:ascii="Times New Roman" w:hAnsi="Times New Roman"/>
                <w:sz w:val="24"/>
                <w:szCs w:val="24"/>
              </w:rPr>
              <w:t>571</w:t>
            </w:r>
            <w:r w:rsidRPr="00F876DD">
              <w:rPr>
                <w:rFonts w:ascii="Times New Roman" w:hAnsi="Times New Roman"/>
                <w:sz w:val="24"/>
                <w:szCs w:val="24"/>
              </w:rPr>
              <w:t>-</w:t>
            </w:r>
            <w:r w:rsidR="00311DE3" w:rsidRPr="00F876DD">
              <w:rPr>
                <w:rFonts w:ascii="Times New Roman" w:hAnsi="Times New Roman"/>
                <w:sz w:val="24"/>
                <w:szCs w:val="24"/>
              </w:rPr>
              <w:t>11</w:t>
            </w:r>
            <w:r w:rsidRPr="00F876DD">
              <w:rPr>
                <w:rFonts w:ascii="Times New Roman" w:hAnsi="Times New Roman"/>
                <w:sz w:val="24"/>
                <w:szCs w:val="24"/>
              </w:rPr>
              <w:t>-</w:t>
            </w:r>
            <w:r w:rsidR="00311DE3" w:rsidRPr="00F876DD">
              <w:rPr>
                <w:rFonts w:ascii="Times New Roman" w:hAnsi="Times New Roman"/>
                <w:sz w:val="24"/>
                <w:szCs w:val="24"/>
              </w:rPr>
              <w:t>81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r w:rsidRPr="00F876DD">
              <w:rPr>
                <w:rFonts w:ascii="Times New Roman" w:hAnsi="Times New Roman"/>
                <w:sz w:val="24"/>
                <w:szCs w:val="24"/>
                <w:lang w:eastAsia="ru-RU"/>
              </w:rPr>
              <w:t>ел. пошта:</w:t>
            </w:r>
            <w:r w:rsidRPr="00F876DD">
              <w:rPr>
                <w:rFonts w:ascii="Times New Roman" w:hAnsi="Times New Roman"/>
                <w:sz w:val="24"/>
                <w:szCs w:val="24"/>
                <w:u w:val="single"/>
                <w:lang w:val="en-US" w:eastAsia="ru-RU"/>
              </w:rPr>
              <w:t>kadry</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gmail</w:t>
            </w:r>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4A50464D" w:rsidR="00DB0936" w:rsidRPr="00B43AB6" w:rsidRDefault="00B43AB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B43AB6">
              <w:rPr>
                <w:rFonts w:ascii="Times New Roman" w:eastAsia="Times New Roman" w:hAnsi="Times New Roman"/>
                <w:color w:val="000000"/>
                <w:sz w:val="24"/>
                <w:szCs w:val="24"/>
                <w:shd w:val="clear" w:color="auto" w:fill="FFFFFF"/>
                <w:lang w:eastAsia="ru-RU"/>
              </w:rPr>
              <w:t>В</w:t>
            </w:r>
            <w:r w:rsidRPr="00B43AB6">
              <w:rPr>
                <w:rFonts w:ascii="Times New Roman" w:eastAsia="Times New Roman" w:hAnsi="Times New Roman"/>
                <w:color w:val="000000"/>
                <w:sz w:val="24"/>
                <w:szCs w:val="24"/>
                <w:shd w:val="clear" w:color="auto" w:fill="FFFFFF"/>
                <w:lang w:val="ru-RU" w:eastAsia="ru-RU"/>
              </w:rPr>
              <w:t xml:space="preserve">ища освіта за освітньо-кваліфікаційним рівнем не нижче ступеня молодшого бакалавра або бакалавра </w:t>
            </w:r>
            <w:r w:rsidRPr="00B43AB6">
              <w:rPr>
                <w:rFonts w:ascii="Times New Roman" w:eastAsia="Times New Roman" w:hAnsi="Times New Roman"/>
                <w:sz w:val="24"/>
                <w:szCs w:val="24"/>
                <w:shd w:val="clear" w:color="auto" w:fill="FFFFFF"/>
                <w:lang w:val="ru-RU" w:eastAsia="ru-RU"/>
              </w:rPr>
              <w:t>(спеціальності: «Правознавство»/«Право»).</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478B31E3"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F876DD" w:rsidRDefault="00DB0936" w:rsidP="00B931C5">
            <w:pPr>
              <w:spacing w:after="0" w:line="240" w:lineRule="auto"/>
              <w:ind w:left="124"/>
              <w:rPr>
                <w:rFonts w:ascii="Times New Roman" w:hAnsi="Times New Roman"/>
                <w:b/>
                <w:sz w:val="24"/>
                <w:szCs w:val="24"/>
              </w:rPr>
            </w:pPr>
            <w:r w:rsidRPr="00F876DD">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F876DD" w:rsidRDefault="00DB0936" w:rsidP="00B931C5">
            <w:pPr>
              <w:spacing w:after="0" w:line="240" w:lineRule="auto"/>
              <w:ind w:left="136" w:right="135"/>
              <w:jc w:val="both"/>
              <w:rPr>
                <w:rFonts w:ascii="Times New Roman" w:hAnsi="Times New Roman"/>
                <w:sz w:val="24"/>
                <w:szCs w:val="24"/>
              </w:rPr>
            </w:pPr>
            <w:r w:rsidRPr="00F876DD">
              <w:rPr>
                <w:rFonts w:ascii="Times New Roman" w:hAnsi="Times New Roman"/>
                <w:sz w:val="24"/>
                <w:szCs w:val="24"/>
              </w:rPr>
              <w:t>Знання:</w:t>
            </w:r>
          </w:p>
          <w:p w14:paraId="16ACC4B7" w14:textId="0E49F722"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Конституції України;</w:t>
            </w:r>
          </w:p>
          <w:p w14:paraId="7D035E25" w14:textId="31FC7BA3" w:rsidR="00DB0936" w:rsidRPr="00F876DD"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державну службу»;</w:t>
            </w:r>
          </w:p>
          <w:p w14:paraId="1D9B94B9" w14:textId="77777777" w:rsidR="00DB7ABC" w:rsidRDefault="00F876DD"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xml:space="preserve">- </w:t>
            </w:r>
            <w:r w:rsidR="00DB0936" w:rsidRPr="00F876DD">
              <w:rPr>
                <w:rFonts w:ascii="Times New Roman" w:hAnsi="Times New Roman"/>
                <w:sz w:val="24"/>
                <w:szCs w:val="24"/>
              </w:rPr>
              <w:t>Закону України «Про запобігання корупції»</w:t>
            </w:r>
          </w:p>
          <w:p w14:paraId="053F9E17" w14:textId="506D562A" w:rsidR="00DB0936" w:rsidRPr="00F876DD" w:rsidRDefault="00DB7ABC" w:rsidP="00B931C5">
            <w:pPr>
              <w:pStyle w:val="a7"/>
              <w:spacing w:after="0" w:line="240" w:lineRule="auto"/>
              <w:ind w:left="136" w:right="135"/>
              <w:jc w:val="both"/>
              <w:rPr>
                <w:rFonts w:ascii="Times New Roman" w:hAnsi="Times New Roman"/>
                <w:sz w:val="24"/>
                <w:szCs w:val="24"/>
              </w:rPr>
            </w:pPr>
            <w:r>
              <w:rPr>
                <w:rFonts w:ascii="Times New Roman" w:hAnsi="Times New Roman"/>
                <w:sz w:val="24"/>
                <w:szCs w:val="24"/>
              </w:rPr>
              <w:t>- Закону України «Про прокуратуру»</w:t>
            </w:r>
            <w:r w:rsidR="00DB0936" w:rsidRPr="00F876DD">
              <w:rPr>
                <w:rFonts w:ascii="Times New Roman" w:hAnsi="Times New Roman"/>
                <w:sz w:val="24"/>
                <w:szCs w:val="24"/>
              </w:rPr>
              <w:t xml:space="preserve"> та іншого законодавства</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F876DD" w:rsidRDefault="00DB0936" w:rsidP="001C26C5">
            <w:pPr>
              <w:spacing w:after="0" w:line="240" w:lineRule="auto"/>
              <w:ind w:left="124" w:right="132"/>
              <w:rPr>
                <w:rFonts w:ascii="Times New Roman" w:hAnsi="Times New Roman"/>
                <w:b/>
                <w:sz w:val="24"/>
                <w:szCs w:val="24"/>
              </w:rPr>
            </w:pPr>
            <w:r w:rsidRPr="00F876DD">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9549E8" w:rsidRDefault="009549E8" w:rsidP="00BA551F">
            <w:pPr>
              <w:tabs>
                <w:tab w:val="left" w:pos="5806"/>
              </w:tabs>
              <w:spacing w:after="0" w:line="240" w:lineRule="auto"/>
              <w:ind w:left="137" w:right="135"/>
              <w:jc w:val="both"/>
              <w:rPr>
                <w:rFonts w:ascii="Times New Roman" w:hAnsi="Times New Roman"/>
                <w:sz w:val="24"/>
                <w:szCs w:val="24"/>
              </w:rPr>
            </w:pPr>
            <w:r w:rsidRPr="009549E8">
              <w:rPr>
                <w:rFonts w:ascii="Times New Roman" w:hAnsi="Times New Roman"/>
                <w:sz w:val="24"/>
                <w:szCs w:val="24"/>
              </w:rPr>
              <w:t>Знання:</w:t>
            </w:r>
          </w:p>
          <w:p w14:paraId="2444231B" w14:textId="4284E03F" w:rsidR="00B43AB6" w:rsidRPr="00B43AB6" w:rsidRDefault="00B43AB6" w:rsidP="00BA551F">
            <w:pPr>
              <w:pStyle w:val="TimesNewRoman"/>
              <w:tabs>
                <w:tab w:val="left" w:pos="137"/>
                <w:tab w:val="left" w:pos="5806"/>
              </w:tabs>
              <w:spacing w:before="0"/>
              <w:ind w:left="137" w:right="277"/>
              <w:jc w:val="both"/>
              <w:rPr>
                <w:b w:val="0"/>
                <w:sz w:val="24"/>
                <w:szCs w:val="24"/>
                <w:shd w:val="clear" w:color="auto" w:fill="FFFFFF"/>
              </w:rPr>
            </w:pPr>
            <w:r>
              <w:rPr>
                <w:sz w:val="24"/>
                <w:szCs w:val="24"/>
                <w:shd w:val="clear" w:color="auto" w:fill="FFFFFF"/>
              </w:rPr>
              <w:t xml:space="preserve">- </w:t>
            </w:r>
            <w:r w:rsidR="006F631F" w:rsidRPr="006F631F">
              <w:rPr>
                <w:b w:val="0"/>
                <w:bCs w:val="0"/>
                <w:sz w:val="24"/>
                <w:szCs w:val="24"/>
                <w:shd w:val="clear" w:color="auto" w:fill="FFFFFF"/>
              </w:rPr>
              <w:t>Закону України</w:t>
            </w:r>
            <w:r w:rsidR="006F631F">
              <w:rPr>
                <w:sz w:val="24"/>
                <w:szCs w:val="24"/>
                <w:shd w:val="clear" w:color="auto" w:fill="FFFFFF"/>
              </w:rPr>
              <w:t xml:space="preserve"> </w:t>
            </w:r>
            <w:r w:rsidRPr="00B43AB6">
              <w:rPr>
                <w:b w:val="0"/>
                <w:sz w:val="24"/>
                <w:szCs w:val="24"/>
                <w:shd w:val="clear" w:color="auto" w:fill="FFFFFF"/>
              </w:rPr>
              <w:t xml:space="preserve">«Про захист персональних даних»; </w:t>
            </w:r>
          </w:p>
          <w:p w14:paraId="65038186" w14:textId="605D54CD" w:rsidR="00B43AB6" w:rsidRPr="00B43AB6" w:rsidRDefault="00B43AB6" w:rsidP="00BA551F">
            <w:pPr>
              <w:pStyle w:val="TimesNewRoman"/>
              <w:tabs>
                <w:tab w:val="left" w:pos="137"/>
                <w:tab w:val="left" w:pos="5806"/>
              </w:tabs>
              <w:spacing w:before="0"/>
              <w:ind w:left="137" w:right="277"/>
              <w:jc w:val="both"/>
              <w:rPr>
                <w:b w:val="0"/>
                <w:color w:val="FF0000"/>
                <w:sz w:val="24"/>
                <w:szCs w:val="24"/>
                <w:shd w:val="clear" w:color="auto" w:fill="FFFFFF"/>
              </w:rPr>
            </w:pPr>
            <w:r>
              <w:rPr>
                <w:b w:val="0"/>
                <w:bCs w:val="0"/>
                <w:sz w:val="24"/>
                <w:szCs w:val="24"/>
                <w:shd w:val="clear" w:color="auto" w:fill="FFFFFF"/>
                <w:lang w:val="ru-RU"/>
              </w:rPr>
              <w:t>-</w:t>
            </w:r>
            <w:r w:rsidRPr="00B43AB6">
              <w:rPr>
                <w:b w:val="0"/>
                <w:bCs w:val="0"/>
                <w:sz w:val="24"/>
                <w:szCs w:val="24"/>
                <w:shd w:val="clear" w:color="auto" w:fill="FFFFFF"/>
                <w:lang w:val="ru-RU"/>
              </w:rPr>
              <w:t xml:space="preserve"> </w:t>
            </w:r>
            <w:r w:rsidR="006F631F">
              <w:rPr>
                <w:b w:val="0"/>
                <w:bCs w:val="0"/>
                <w:sz w:val="24"/>
                <w:szCs w:val="24"/>
                <w:shd w:val="clear" w:color="auto" w:fill="FFFFFF"/>
                <w:lang w:val="ru-RU"/>
              </w:rPr>
              <w:t xml:space="preserve">Закону України </w:t>
            </w:r>
            <w:r w:rsidRPr="00B43AB6">
              <w:rPr>
                <w:b w:val="0"/>
                <w:bCs w:val="0"/>
                <w:sz w:val="24"/>
                <w:szCs w:val="24"/>
                <w:shd w:val="clear" w:color="auto" w:fill="FFFFFF"/>
                <w:lang w:val="ru-RU"/>
              </w:rPr>
              <w:t xml:space="preserve">«Про доступ до </w:t>
            </w:r>
            <w:r w:rsidRPr="00B43AB6">
              <w:rPr>
                <w:b w:val="0"/>
                <w:bCs w:val="0"/>
                <w:color w:val="000000"/>
                <w:sz w:val="24"/>
                <w:szCs w:val="24"/>
                <w:shd w:val="clear" w:color="auto" w:fill="FFFFFF"/>
                <w:lang w:val="ru-RU"/>
              </w:rPr>
              <w:t>публічної інформації»;</w:t>
            </w:r>
          </w:p>
          <w:p w14:paraId="528CCCCB" w14:textId="01E8D61E" w:rsidR="00B43AB6" w:rsidRPr="00B43AB6" w:rsidRDefault="00B43AB6" w:rsidP="00BA551F">
            <w:pPr>
              <w:pStyle w:val="TimesNewRoman"/>
              <w:tabs>
                <w:tab w:val="left" w:pos="137"/>
                <w:tab w:val="left" w:pos="5806"/>
              </w:tabs>
              <w:spacing w:before="0"/>
              <w:ind w:left="137" w:right="277"/>
              <w:jc w:val="both"/>
              <w:rPr>
                <w:b w:val="0"/>
                <w:color w:val="FF0000"/>
                <w:sz w:val="24"/>
                <w:szCs w:val="24"/>
                <w:shd w:val="clear" w:color="auto" w:fill="FFFFFF"/>
              </w:rPr>
            </w:pPr>
            <w:r>
              <w:rPr>
                <w:b w:val="0"/>
                <w:bCs w:val="0"/>
                <w:color w:val="000000"/>
                <w:sz w:val="24"/>
                <w:szCs w:val="24"/>
                <w:shd w:val="clear" w:color="auto" w:fill="FFFFFF"/>
                <w:lang w:val="ru-RU"/>
              </w:rPr>
              <w:t xml:space="preserve">- </w:t>
            </w:r>
            <w:r w:rsidR="006F631F">
              <w:rPr>
                <w:b w:val="0"/>
                <w:bCs w:val="0"/>
                <w:color w:val="000000"/>
                <w:sz w:val="24"/>
                <w:szCs w:val="24"/>
                <w:shd w:val="clear" w:color="auto" w:fill="FFFFFF"/>
                <w:lang w:val="ru-RU"/>
              </w:rPr>
              <w:t xml:space="preserve">Закону України </w:t>
            </w:r>
            <w:r w:rsidRPr="00B43AB6">
              <w:rPr>
                <w:b w:val="0"/>
                <w:bCs w:val="0"/>
                <w:color w:val="000000"/>
                <w:sz w:val="24"/>
                <w:szCs w:val="24"/>
                <w:shd w:val="clear" w:color="auto" w:fill="FFFFFF"/>
                <w:lang w:val="ru-RU"/>
              </w:rPr>
              <w:t>«Про очищення влади»;</w:t>
            </w:r>
          </w:p>
          <w:p w14:paraId="7E995CC9" w14:textId="20C63C06" w:rsidR="00B43AB6" w:rsidRPr="00B43AB6" w:rsidRDefault="00B43AB6" w:rsidP="00BA551F">
            <w:pPr>
              <w:pStyle w:val="TimesNewRoman"/>
              <w:tabs>
                <w:tab w:val="left" w:pos="137"/>
                <w:tab w:val="left" w:pos="5806"/>
              </w:tabs>
              <w:spacing w:before="0"/>
              <w:ind w:left="137" w:right="277"/>
              <w:jc w:val="both"/>
              <w:rPr>
                <w:b w:val="0"/>
                <w:color w:val="FF0000"/>
                <w:sz w:val="24"/>
                <w:szCs w:val="24"/>
                <w:shd w:val="clear" w:color="auto" w:fill="FFFFFF"/>
              </w:rPr>
            </w:pPr>
            <w:r>
              <w:rPr>
                <w:b w:val="0"/>
                <w:bCs w:val="0"/>
                <w:color w:val="000000"/>
                <w:sz w:val="24"/>
                <w:szCs w:val="24"/>
                <w:shd w:val="clear" w:color="auto" w:fill="FFFFFF"/>
              </w:rPr>
              <w:t xml:space="preserve">- </w:t>
            </w:r>
            <w:r w:rsidR="006F631F">
              <w:rPr>
                <w:b w:val="0"/>
                <w:bCs w:val="0"/>
                <w:color w:val="000000"/>
                <w:sz w:val="24"/>
                <w:szCs w:val="24"/>
                <w:shd w:val="clear" w:color="auto" w:fill="FFFFFF"/>
              </w:rPr>
              <w:t xml:space="preserve">Закону України </w:t>
            </w:r>
            <w:r w:rsidRPr="00B43AB6">
              <w:rPr>
                <w:b w:val="0"/>
                <w:bCs w:val="0"/>
                <w:color w:val="000000"/>
                <w:sz w:val="24"/>
                <w:szCs w:val="24"/>
                <w:shd w:val="clear" w:color="auto" w:fill="FFFFFF"/>
              </w:rPr>
              <w:t>«Про звернення громадян»;</w:t>
            </w:r>
          </w:p>
          <w:p w14:paraId="284BBD56" w14:textId="2C8007D4" w:rsidR="00B43AB6" w:rsidRDefault="00B43AB6" w:rsidP="00BA551F">
            <w:pPr>
              <w:pStyle w:val="TimesNewRoman"/>
              <w:tabs>
                <w:tab w:val="left" w:pos="137"/>
                <w:tab w:val="left" w:pos="5806"/>
              </w:tabs>
              <w:spacing w:before="0"/>
              <w:ind w:left="137" w:right="277"/>
              <w:jc w:val="both"/>
              <w:rPr>
                <w:b w:val="0"/>
                <w:bCs w:val="0"/>
                <w:color w:val="000000"/>
                <w:sz w:val="24"/>
                <w:szCs w:val="24"/>
                <w:shd w:val="clear" w:color="auto" w:fill="FFFFFF"/>
              </w:rPr>
            </w:pPr>
            <w:r>
              <w:rPr>
                <w:b w:val="0"/>
                <w:bCs w:val="0"/>
                <w:sz w:val="24"/>
                <w:szCs w:val="24"/>
                <w:shd w:val="clear" w:color="auto" w:fill="FFFFFF"/>
              </w:rPr>
              <w:t xml:space="preserve">- </w:t>
            </w:r>
            <w:r w:rsidRPr="00B43AB6">
              <w:rPr>
                <w:b w:val="0"/>
                <w:bCs w:val="0"/>
                <w:sz w:val="24"/>
                <w:szCs w:val="24"/>
                <w:shd w:val="clear" w:color="auto" w:fill="FFFFFF"/>
              </w:rPr>
              <w:t xml:space="preserve">Тимчасової </w:t>
            </w:r>
            <w:r w:rsidRPr="00B43AB6">
              <w:rPr>
                <w:b w:val="0"/>
                <w:bCs w:val="0"/>
                <w:color w:val="000000"/>
                <w:sz w:val="24"/>
                <w:szCs w:val="24"/>
                <w:shd w:val="clear" w:color="auto" w:fill="FFFFFF"/>
              </w:rPr>
              <w:t>інструкції з діловодства в органах прокуратури України, затвердженої наказом Генеральної прокуратури України від 12.02.2019                 № 27;</w:t>
            </w:r>
            <w:r>
              <w:rPr>
                <w:b w:val="0"/>
                <w:bCs w:val="0"/>
                <w:color w:val="000000"/>
                <w:sz w:val="24"/>
                <w:szCs w:val="24"/>
                <w:shd w:val="clear" w:color="auto" w:fill="FFFFFF"/>
              </w:rPr>
              <w:t xml:space="preserve"> </w:t>
            </w:r>
          </w:p>
          <w:p w14:paraId="46B90823" w14:textId="6FF97670" w:rsidR="00371383" w:rsidRPr="00B43AB6" w:rsidRDefault="00371383" w:rsidP="00BA551F">
            <w:pPr>
              <w:pStyle w:val="TimesNewRoman"/>
              <w:tabs>
                <w:tab w:val="left" w:pos="137"/>
                <w:tab w:val="left" w:pos="5806"/>
              </w:tabs>
              <w:spacing w:before="0"/>
              <w:ind w:left="137" w:right="277"/>
              <w:jc w:val="both"/>
              <w:rPr>
                <w:b w:val="0"/>
                <w:color w:val="FF0000"/>
                <w:sz w:val="24"/>
                <w:szCs w:val="24"/>
                <w:shd w:val="clear" w:color="auto" w:fill="FFFFFF"/>
              </w:rPr>
            </w:pPr>
            <w:r>
              <w:rPr>
                <w:b w:val="0"/>
                <w:color w:val="000000"/>
                <w:sz w:val="24"/>
                <w:szCs w:val="24"/>
                <w:shd w:val="clear" w:color="auto" w:fill="FFFFFF"/>
              </w:rPr>
              <w:t>- Регламент</w:t>
            </w:r>
            <w:r w:rsidR="006F631F">
              <w:rPr>
                <w:b w:val="0"/>
                <w:color w:val="000000"/>
                <w:sz w:val="24"/>
                <w:szCs w:val="24"/>
                <w:shd w:val="clear" w:color="auto" w:fill="FFFFFF"/>
              </w:rPr>
              <w:t>у</w:t>
            </w:r>
            <w:r>
              <w:rPr>
                <w:b w:val="0"/>
                <w:color w:val="000000"/>
                <w:sz w:val="24"/>
                <w:szCs w:val="24"/>
                <w:shd w:val="clear" w:color="auto" w:fill="FFFFFF"/>
              </w:rPr>
              <w:t xml:space="preserve"> Вінницької обласної прокуратури, затвердженого наказом керівника Вінницької обласної прокуратури від 28.03.2022 № 36 (зі змінами від 07.09.2023 № 143);  </w:t>
            </w:r>
          </w:p>
          <w:p w14:paraId="399E57A4" w14:textId="2C2859ED" w:rsidR="00DB0936" w:rsidRPr="009549E8" w:rsidRDefault="00B43AB6" w:rsidP="00BA551F">
            <w:pPr>
              <w:pStyle w:val="TimesNewRoman"/>
              <w:tabs>
                <w:tab w:val="left" w:pos="137"/>
                <w:tab w:val="left" w:pos="5806"/>
              </w:tabs>
              <w:spacing w:before="0"/>
              <w:ind w:left="137" w:right="277"/>
              <w:jc w:val="both"/>
              <w:rPr>
                <w:sz w:val="24"/>
                <w:szCs w:val="24"/>
              </w:rPr>
            </w:pPr>
            <w:r>
              <w:rPr>
                <w:b w:val="0"/>
                <w:bCs w:val="0"/>
                <w:color w:val="000000"/>
                <w:sz w:val="24"/>
                <w:szCs w:val="24"/>
                <w:shd w:val="clear" w:color="auto" w:fill="FFFFFF"/>
              </w:rPr>
              <w:t xml:space="preserve">- </w:t>
            </w:r>
            <w:r w:rsidRPr="00B43AB6">
              <w:rPr>
                <w:b w:val="0"/>
                <w:bCs w:val="0"/>
                <w:color w:val="000000"/>
                <w:sz w:val="24"/>
                <w:szCs w:val="24"/>
                <w:shd w:val="clear" w:color="auto" w:fill="FFFFFF"/>
              </w:rPr>
              <w:t>Порядку координаційної діяльності правоохоронних органів у сфері протидії злочинності, затвердженого наказом Генерального прокурора від 08.02.2021 № 28 та іншого законодавства.</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BB06F6">
      <w:pgSz w:w="11906" w:h="16838"/>
      <w:pgMar w:top="709" w:right="567"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3F140B"/>
    <w:multiLevelType w:val="hybridMultilevel"/>
    <w:tmpl w:val="CF7C3E38"/>
    <w:lvl w:ilvl="0" w:tplc="3738B642">
      <w:numFmt w:val="bullet"/>
      <w:lvlText w:val="-"/>
      <w:lvlJc w:val="left"/>
      <w:pPr>
        <w:ind w:left="435" w:hanging="360"/>
      </w:pPr>
      <w:rPr>
        <w:rFonts w:ascii="Times New Roman" w:eastAsia="Calibri" w:hAnsi="Times New Roman" w:cs="Times New Roman" w:hint="default"/>
        <w:color w:val="auto"/>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9"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9"/>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24533"/>
    <w:rsid w:val="00124E11"/>
    <w:rsid w:val="001361EE"/>
    <w:rsid w:val="00141E21"/>
    <w:rsid w:val="00151B65"/>
    <w:rsid w:val="00160349"/>
    <w:rsid w:val="00184EFA"/>
    <w:rsid w:val="001906FE"/>
    <w:rsid w:val="001928A3"/>
    <w:rsid w:val="001B39DB"/>
    <w:rsid w:val="001B5230"/>
    <w:rsid w:val="001C0A8C"/>
    <w:rsid w:val="001C26C5"/>
    <w:rsid w:val="001D4836"/>
    <w:rsid w:val="00227ED5"/>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71383"/>
    <w:rsid w:val="003926A4"/>
    <w:rsid w:val="00393C48"/>
    <w:rsid w:val="003B368F"/>
    <w:rsid w:val="003C1F2D"/>
    <w:rsid w:val="003E072C"/>
    <w:rsid w:val="003E5820"/>
    <w:rsid w:val="00432F52"/>
    <w:rsid w:val="0043411D"/>
    <w:rsid w:val="004436E4"/>
    <w:rsid w:val="0044659E"/>
    <w:rsid w:val="00447837"/>
    <w:rsid w:val="00472FF6"/>
    <w:rsid w:val="00474730"/>
    <w:rsid w:val="00480909"/>
    <w:rsid w:val="004A2C7C"/>
    <w:rsid w:val="004B4BAD"/>
    <w:rsid w:val="004C30CE"/>
    <w:rsid w:val="004E344F"/>
    <w:rsid w:val="00502A99"/>
    <w:rsid w:val="00506888"/>
    <w:rsid w:val="00512296"/>
    <w:rsid w:val="0052255F"/>
    <w:rsid w:val="005226AB"/>
    <w:rsid w:val="00530874"/>
    <w:rsid w:val="00534C7D"/>
    <w:rsid w:val="00542F83"/>
    <w:rsid w:val="005447F0"/>
    <w:rsid w:val="00550B01"/>
    <w:rsid w:val="005577C2"/>
    <w:rsid w:val="00570267"/>
    <w:rsid w:val="00572AE6"/>
    <w:rsid w:val="005A03F2"/>
    <w:rsid w:val="005E0035"/>
    <w:rsid w:val="005E0A17"/>
    <w:rsid w:val="005E1EB8"/>
    <w:rsid w:val="00600A2A"/>
    <w:rsid w:val="006175DC"/>
    <w:rsid w:val="00633474"/>
    <w:rsid w:val="00637349"/>
    <w:rsid w:val="00640D8B"/>
    <w:rsid w:val="006467E1"/>
    <w:rsid w:val="0064786F"/>
    <w:rsid w:val="006571B7"/>
    <w:rsid w:val="00674FF4"/>
    <w:rsid w:val="006856D4"/>
    <w:rsid w:val="00696689"/>
    <w:rsid w:val="006A31C2"/>
    <w:rsid w:val="006A5A00"/>
    <w:rsid w:val="006A7E1B"/>
    <w:rsid w:val="006C3A2C"/>
    <w:rsid w:val="006E407F"/>
    <w:rsid w:val="006E4DCE"/>
    <w:rsid w:val="006F631F"/>
    <w:rsid w:val="00714620"/>
    <w:rsid w:val="00716964"/>
    <w:rsid w:val="0072428C"/>
    <w:rsid w:val="007327E3"/>
    <w:rsid w:val="00740936"/>
    <w:rsid w:val="0074316C"/>
    <w:rsid w:val="00755D20"/>
    <w:rsid w:val="00757760"/>
    <w:rsid w:val="00762BEC"/>
    <w:rsid w:val="0076503B"/>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6415C"/>
    <w:rsid w:val="008742DC"/>
    <w:rsid w:val="0087453E"/>
    <w:rsid w:val="00894D4B"/>
    <w:rsid w:val="008958D6"/>
    <w:rsid w:val="008A3237"/>
    <w:rsid w:val="008A67BF"/>
    <w:rsid w:val="008A69AD"/>
    <w:rsid w:val="008C7882"/>
    <w:rsid w:val="008E0C7E"/>
    <w:rsid w:val="008E64CE"/>
    <w:rsid w:val="008F5B10"/>
    <w:rsid w:val="00900178"/>
    <w:rsid w:val="00917297"/>
    <w:rsid w:val="009308CB"/>
    <w:rsid w:val="00933FCD"/>
    <w:rsid w:val="009353BD"/>
    <w:rsid w:val="00944B87"/>
    <w:rsid w:val="00946023"/>
    <w:rsid w:val="00947A46"/>
    <w:rsid w:val="009549E8"/>
    <w:rsid w:val="00976B93"/>
    <w:rsid w:val="009927D7"/>
    <w:rsid w:val="009A05EF"/>
    <w:rsid w:val="009A3132"/>
    <w:rsid w:val="009A345E"/>
    <w:rsid w:val="009A7D2F"/>
    <w:rsid w:val="009B49A2"/>
    <w:rsid w:val="009B60AA"/>
    <w:rsid w:val="009D1DC8"/>
    <w:rsid w:val="009D77C6"/>
    <w:rsid w:val="00A04E15"/>
    <w:rsid w:val="00A14BC8"/>
    <w:rsid w:val="00A177BD"/>
    <w:rsid w:val="00A207F6"/>
    <w:rsid w:val="00A3374C"/>
    <w:rsid w:val="00A363F0"/>
    <w:rsid w:val="00A36BE9"/>
    <w:rsid w:val="00A374D4"/>
    <w:rsid w:val="00A40A21"/>
    <w:rsid w:val="00A4291D"/>
    <w:rsid w:val="00A46B65"/>
    <w:rsid w:val="00A53F36"/>
    <w:rsid w:val="00A62160"/>
    <w:rsid w:val="00A62BC1"/>
    <w:rsid w:val="00A75FC4"/>
    <w:rsid w:val="00A80CF5"/>
    <w:rsid w:val="00A81544"/>
    <w:rsid w:val="00A84454"/>
    <w:rsid w:val="00A86380"/>
    <w:rsid w:val="00AB3C9D"/>
    <w:rsid w:val="00AC138D"/>
    <w:rsid w:val="00AC46FE"/>
    <w:rsid w:val="00AD1523"/>
    <w:rsid w:val="00AD33FB"/>
    <w:rsid w:val="00B0543C"/>
    <w:rsid w:val="00B16328"/>
    <w:rsid w:val="00B2186B"/>
    <w:rsid w:val="00B43AB6"/>
    <w:rsid w:val="00B52F92"/>
    <w:rsid w:val="00B56F56"/>
    <w:rsid w:val="00B64915"/>
    <w:rsid w:val="00B931C5"/>
    <w:rsid w:val="00BA551F"/>
    <w:rsid w:val="00BA795F"/>
    <w:rsid w:val="00BB06F6"/>
    <w:rsid w:val="00BB1F30"/>
    <w:rsid w:val="00BB31D4"/>
    <w:rsid w:val="00BB4ECD"/>
    <w:rsid w:val="00BD02BB"/>
    <w:rsid w:val="00BD3540"/>
    <w:rsid w:val="00BD781D"/>
    <w:rsid w:val="00BE5FEE"/>
    <w:rsid w:val="00C023A1"/>
    <w:rsid w:val="00C101FD"/>
    <w:rsid w:val="00C13933"/>
    <w:rsid w:val="00C13F97"/>
    <w:rsid w:val="00C1733F"/>
    <w:rsid w:val="00C30A78"/>
    <w:rsid w:val="00C44262"/>
    <w:rsid w:val="00C47F82"/>
    <w:rsid w:val="00C626F0"/>
    <w:rsid w:val="00C7167F"/>
    <w:rsid w:val="00C85922"/>
    <w:rsid w:val="00C908EB"/>
    <w:rsid w:val="00CA4A66"/>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B7ABC"/>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64FAA"/>
    <w:rsid w:val="00F751D5"/>
    <w:rsid w:val="00F80E97"/>
    <w:rsid w:val="00F876DD"/>
    <w:rsid w:val="00FB0136"/>
    <w:rsid w:val="00FB4CDF"/>
    <w:rsid w:val="00FE5343"/>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 w:type="paragraph" w:customStyle="1" w:styleId="TimesNewRoman">
    <w:name w:val="Стиль Центровка + Times New Roman"/>
    <w:basedOn w:val="a"/>
    <w:rsid w:val="00B43AB6"/>
    <w:pPr>
      <w:suppressAutoHyphens/>
      <w:spacing w:before="120" w:after="0" w:line="240" w:lineRule="auto"/>
      <w:jc w:val="center"/>
    </w:pPr>
    <w:rPr>
      <w:rFonts w:ascii="Times New Roman" w:eastAsia="Times New Roman" w:hAnsi="Times New Roman"/>
      <w:b/>
      <w:bCs/>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Pages>
  <Words>1408</Words>
  <Characters>8031</Characters>
  <Application>Microsoft Office Word</Application>
  <DocSecurity>0</DocSecurity>
  <Lines>66</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89</cp:revision>
  <cp:lastPrinted>2025-04-01T08:56:00Z</cp:lastPrinted>
  <dcterms:created xsi:type="dcterms:W3CDTF">2022-06-10T12:22:00Z</dcterms:created>
  <dcterms:modified xsi:type="dcterms:W3CDTF">2025-04-01T09:03:00Z</dcterms:modified>
</cp:coreProperties>
</file>